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8C97" w14:textId="77777777" w:rsidR="00663BF4" w:rsidRPr="00663BF4" w:rsidRDefault="00663BF4" w:rsidP="00663BF4">
      <w:pPr>
        <w:shd w:val="clear" w:color="auto" w:fill="A61428"/>
        <w:spacing w:after="0" w:line="240" w:lineRule="auto"/>
        <w:rPr>
          <w:rFonts w:ascii="Libre Baskerville" w:eastAsia="Times New Roman" w:hAnsi="Libre Baskerville" w:cs="Times New Roman"/>
          <w:color w:val="FFFFFF"/>
          <w:kern w:val="0"/>
          <w:sz w:val="30"/>
          <w:szCs w:val="30"/>
          <w14:ligatures w14:val="none"/>
        </w:rPr>
      </w:pPr>
      <w:r w:rsidRPr="00663BF4">
        <w:rPr>
          <w:rFonts w:ascii="Montserrat" w:eastAsia="Times New Roman" w:hAnsi="Montserrat" w:cs="Times New Roman"/>
          <w:b/>
          <w:bCs/>
          <w:caps/>
          <w:color w:val="FFFFFF"/>
          <w:kern w:val="0"/>
          <w:sz w:val="21"/>
          <w:szCs w:val="21"/>
          <w:bdr w:val="none" w:sz="0" w:space="0" w:color="auto" w:frame="1"/>
          <w:shd w:val="clear" w:color="auto" w:fill="000000"/>
          <w14:ligatures w14:val="none"/>
        </w:rPr>
        <w:t>Posted in</w:t>
      </w:r>
      <w:hyperlink r:id="rId5" w:history="1">
        <w:r w:rsidRPr="00663BF4">
          <w:rPr>
            <w:rFonts w:ascii="Montserrat" w:eastAsia="Times New Roman" w:hAnsi="Montserrat" w:cs="Times New Roman"/>
            <w:b/>
            <w:bCs/>
            <w:caps/>
            <w:color w:val="0000FF"/>
            <w:kern w:val="0"/>
            <w:sz w:val="21"/>
            <w:szCs w:val="21"/>
            <w:shd w:val="clear" w:color="auto" w:fill="000000"/>
            <w14:ligatures w14:val="none"/>
          </w:rPr>
          <w:t>Opinion</w:t>
        </w:r>
      </w:hyperlink>
    </w:p>
    <w:p w14:paraId="2E016156" w14:textId="37A2C002" w:rsidR="00663BF4" w:rsidRPr="00663BF4" w:rsidRDefault="00663BF4" w:rsidP="00663BF4">
      <w:pPr>
        <w:shd w:val="clear" w:color="auto" w:fill="A61428"/>
        <w:spacing w:before="100" w:beforeAutospacing="1" w:after="100" w:afterAutospacing="1" w:line="240" w:lineRule="auto"/>
        <w:outlineLvl w:val="0"/>
        <w:rPr>
          <w:rFonts w:ascii="Montserrat" w:eastAsia="Times New Roman" w:hAnsi="Montserrat" w:cs="Times New Roman"/>
          <w:b/>
          <w:bCs/>
          <w:color w:val="FFFFFF"/>
          <w:kern w:val="36"/>
          <w:sz w:val="56"/>
          <w:szCs w:val="56"/>
          <w14:ligatures w14:val="none"/>
        </w:rPr>
      </w:pPr>
      <w:r w:rsidRPr="00663BF4">
        <w:rPr>
          <w:rFonts w:ascii="Montserrat" w:eastAsia="Times New Roman" w:hAnsi="Montserrat" w:cs="Times New Roman"/>
          <w:b/>
          <w:bCs/>
          <w:color w:val="FFFFFF"/>
          <w:kern w:val="36"/>
          <w:sz w:val="56"/>
          <w:szCs w:val="56"/>
          <w14:ligatures w14:val="none"/>
        </w:rPr>
        <w:t xml:space="preserve">Because of one bad policy move after another, Massachusetts has been backsliding on education for more than a decade. Will </w:t>
      </w:r>
      <w:r w:rsidR="00FC5E97">
        <w:rPr>
          <w:rFonts w:ascii="Montserrat" w:eastAsia="Times New Roman" w:hAnsi="Montserrat" w:cs="Times New Roman"/>
          <w:b/>
          <w:bCs/>
          <w:color w:val="FFFFFF"/>
          <w:kern w:val="36"/>
          <w:sz w:val="56"/>
          <w:szCs w:val="56"/>
          <w14:ligatures w14:val="none"/>
        </w:rPr>
        <w:t xml:space="preserve">we </w:t>
      </w:r>
      <w:r w:rsidRPr="00663BF4">
        <w:rPr>
          <w:rFonts w:ascii="Montserrat" w:eastAsia="Times New Roman" w:hAnsi="Montserrat" w:cs="Times New Roman"/>
          <w:b/>
          <w:bCs/>
          <w:color w:val="FFFFFF"/>
          <w:kern w:val="36"/>
          <w:sz w:val="56"/>
          <w:szCs w:val="56"/>
          <w14:ligatures w14:val="none"/>
        </w:rPr>
        <w:t>face up to this reality and change course?  </w:t>
      </w:r>
    </w:p>
    <w:p w14:paraId="05FFEA0D" w14:textId="77777777" w:rsidR="00663BF4" w:rsidRDefault="00663BF4" w:rsidP="00663BF4">
      <w:pPr>
        <w:shd w:val="clear" w:color="auto" w:fill="A61428"/>
        <w:spacing w:after="0" w:line="240" w:lineRule="auto"/>
        <w:rPr>
          <w:rFonts w:ascii="Libre Baskerville" w:eastAsia="Times New Roman" w:hAnsi="Libre Baskerville" w:cs="Times New Roman"/>
          <w:i/>
          <w:iCs/>
          <w:color w:val="FFFFFF"/>
          <w:kern w:val="0"/>
          <w:sz w:val="30"/>
          <w:szCs w:val="30"/>
          <w14:ligatures w14:val="none"/>
        </w:rPr>
      </w:pPr>
      <w:r w:rsidRPr="00663BF4">
        <w:rPr>
          <w:rFonts w:ascii="Libre Baskerville" w:eastAsia="Times New Roman" w:hAnsi="Libre Baskerville" w:cs="Times New Roman"/>
          <w:i/>
          <w:iCs/>
          <w:color w:val="FFFFFF"/>
          <w:kern w:val="0"/>
          <w:sz w:val="30"/>
          <w:szCs w:val="30"/>
          <w14:ligatures w14:val="none"/>
        </w:rPr>
        <w:t>School reform led to remarkable student achievement gains, but we’ve been in a 15-year decline</w:t>
      </w:r>
    </w:p>
    <w:p w14:paraId="00A09430" w14:textId="77777777" w:rsidR="00663BF4" w:rsidRPr="00663BF4" w:rsidRDefault="00663BF4" w:rsidP="00663BF4">
      <w:pPr>
        <w:shd w:val="clear" w:color="auto" w:fill="A61428"/>
        <w:spacing w:after="0" w:line="240" w:lineRule="auto"/>
        <w:rPr>
          <w:rFonts w:ascii="Libre Baskerville" w:eastAsia="Times New Roman" w:hAnsi="Libre Baskerville" w:cs="Times New Roman"/>
          <w:i/>
          <w:iCs/>
          <w:color w:val="FFFFFF"/>
          <w:kern w:val="0"/>
          <w:sz w:val="30"/>
          <w:szCs w:val="30"/>
          <w14:ligatures w14:val="none"/>
        </w:rPr>
      </w:pPr>
    </w:p>
    <w:p w14:paraId="45C2A4FA" w14:textId="25168C23" w:rsidR="00663BF4" w:rsidRDefault="00663BF4" w:rsidP="00663BF4">
      <w:pPr>
        <w:shd w:val="clear" w:color="auto" w:fill="A61428"/>
        <w:spacing w:after="0" w:line="240" w:lineRule="auto"/>
        <w:rPr>
          <w:rFonts w:ascii="Montserrat" w:eastAsia="Times New Roman" w:hAnsi="Montserrat" w:cs="Times New Roman"/>
          <w:color w:val="FFFFFF"/>
          <w:kern w:val="0"/>
          <w:szCs w:val="24"/>
          <w14:ligatures w14:val="none"/>
        </w:rPr>
      </w:pPr>
      <w:r w:rsidRPr="00663BF4">
        <w:rPr>
          <w:rFonts w:ascii="Montserrat" w:eastAsia="Times New Roman" w:hAnsi="Montserrat" w:cs="Times New Roman"/>
          <w:color w:val="FFFFFF"/>
          <w:kern w:val="0"/>
          <w:szCs w:val="24"/>
          <w14:ligatures w14:val="none"/>
        </w:rPr>
        <w:t>by </w:t>
      </w:r>
      <w:hyperlink r:id="rId6" w:history="1">
        <w:r w:rsidRPr="00663BF4">
          <w:rPr>
            <w:rFonts w:ascii="Montserrat" w:eastAsia="Times New Roman" w:hAnsi="Montserrat" w:cs="Times New Roman"/>
            <w:caps/>
            <w:color w:val="0000FF"/>
            <w:kern w:val="0"/>
            <w:szCs w:val="24"/>
            <w14:ligatures w14:val="none"/>
          </w:rPr>
          <w:t>Charles Chieppo</w:t>
        </w:r>
      </w:hyperlink>
      <w:r w:rsidRPr="00663BF4">
        <w:rPr>
          <w:rFonts w:ascii="Montserrat" w:eastAsia="Times New Roman" w:hAnsi="Montserrat" w:cs="Times New Roman"/>
          <w:color w:val="FFFFFF"/>
          <w:kern w:val="0"/>
          <w:szCs w:val="24"/>
          <w14:ligatures w14:val="none"/>
        </w:rPr>
        <w:t> and </w:t>
      </w:r>
      <w:hyperlink r:id="rId7" w:history="1">
        <w:r w:rsidRPr="00663BF4">
          <w:rPr>
            <w:rFonts w:ascii="Montserrat" w:eastAsia="Times New Roman" w:hAnsi="Montserrat" w:cs="Times New Roman"/>
            <w:caps/>
            <w:color w:val="0000FF"/>
            <w:kern w:val="0"/>
            <w:szCs w:val="24"/>
            <w14:ligatures w14:val="none"/>
          </w:rPr>
          <w:t>Jamie Gass</w:t>
        </w:r>
      </w:hyperlink>
    </w:p>
    <w:p w14:paraId="573FE3C2" w14:textId="67C39896" w:rsidR="00663BF4" w:rsidRPr="00663BF4" w:rsidRDefault="00663BF4" w:rsidP="00663BF4">
      <w:pPr>
        <w:shd w:val="clear" w:color="auto" w:fill="A61428"/>
        <w:spacing w:after="0" w:line="240" w:lineRule="auto"/>
        <w:rPr>
          <w:rFonts w:ascii="Montserrat" w:eastAsia="Times New Roman" w:hAnsi="Montserrat" w:cs="Times New Roman"/>
          <w:color w:val="FFFFFF"/>
          <w:kern w:val="0"/>
          <w:szCs w:val="24"/>
          <w14:ligatures w14:val="none"/>
        </w:rPr>
      </w:pPr>
      <w:r>
        <w:rPr>
          <w:rFonts w:ascii="Montserrat" w:eastAsia="Times New Roman" w:hAnsi="Montserrat" w:cs="Times New Roman"/>
          <w:color w:val="FFFFFF"/>
          <w:kern w:val="0"/>
          <w:szCs w:val="24"/>
          <w14:ligatures w14:val="none"/>
        </w:rPr>
        <w:t>October 10, 2025</w:t>
      </w:r>
    </w:p>
    <w:p w14:paraId="1A821233"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b/>
          <w:bCs/>
          <w:color w:val="111111"/>
          <w:kern w:val="0"/>
          <w:sz w:val="30"/>
          <w:szCs w:val="30"/>
          <w14:ligatures w14:val="none"/>
        </w:rPr>
        <w:t>NEW MCAS RESULTS</w:t>
      </w:r>
      <w:r w:rsidRPr="00663BF4">
        <w:rPr>
          <w:rFonts w:ascii="Libre Baskerville" w:eastAsia="Times New Roman" w:hAnsi="Libre Baskerville" w:cs="Times New Roman"/>
          <w:color w:val="111111"/>
          <w:kern w:val="0"/>
          <w:sz w:val="30"/>
          <w:szCs w:val="30"/>
          <w14:ligatures w14:val="none"/>
        </w:rPr>
        <w:t> reveal that the performance of Massachusetts public-school students remains far below pre-pandemic levels and shows few signs of improvement. The data follow National Assessment of Educational Progress (NAEP) scores released earlier this year in which the Commonwealth’s students scored at a </w:t>
      </w:r>
      <w:hyperlink r:id="rId8" w:tgtFrame="_blank" w:history="1">
        <w:r w:rsidRPr="00663BF4">
          <w:rPr>
            <w:rFonts w:ascii="Libre Baskerville" w:eastAsia="Times New Roman" w:hAnsi="Libre Baskerville" w:cs="Times New Roman"/>
            <w:color w:val="5D81AC"/>
            <w:kern w:val="0"/>
            <w:sz w:val="30"/>
            <w:szCs w:val="30"/>
            <w:u w:val="single"/>
            <w14:ligatures w14:val="none"/>
          </w:rPr>
          <w:t>20-year low</w:t>
        </w:r>
      </w:hyperlink>
      <w:r w:rsidRPr="00663BF4">
        <w:rPr>
          <w:rFonts w:ascii="Libre Baskerville" w:eastAsia="Times New Roman" w:hAnsi="Libre Baskerville" w:cs="Times New Roman"/>
          <w:color w:val="111111"/>
          <w:kern w:val="0"/>
          <w:sz w:val="30"/>
          <w:szCs w:val="30"/>
          <w14:ligatures w14:val="none"/>
        </w:rPr>
        <w:t>. </w:t>
      </w:r>
    </w:p>
    <w:p w14:paraId="0B00DD70"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Compare these results to the years following passage of a 1993 education reform law that ushered unprecedented improvements in student achievement and came to be known as the “Massachusetts Miracle.” By 2007, the Commonwealth’s eighth graders tied for </w:t>
      </w:r>
      <w:hyperlink r:id="rId9" w:anchor=":~:text=The%20Trends%20in%20International%20Mathematics%20and%20Science,in%20science%20and%20ranked%20sixth%20in%20mathematics" w:tgtFrame="_blank" w:history="1">
        <w:r w:rsidRPr="00663BF4">
          <w:rPr>
            <w:rFonts w:ascii="Libre Baskerville" w:eastAsia="Times New Roman" w:hAnsi="Libre Baskerville" w:cs="Times New Roman"/>
            <w:color w:val="5D81AC"/>
            <w:kern w:val="0"/>
            <w:sz w:val="30"/>
            <w:szCs w:val="30"/>
            <w:u w:val="single"/>
            <w14:ligatures w14:val="none"/>
          </w:rPr>
          <w:t>best in the world</w:t>
        </w:r>
      </w:hyperlink>
      <w:r w:rsidRPr="00663BF4">
        <w:rPr>
          <w:rFonts w:ascii="Libre Baskerville" w:eastAsia="Times New Roman" w:hAnsi="Libre Baskerville" w:cs="Times New Roman"/>
          <w:color w:val="111111"/>
          <w:kern w:val="0"/>
          <w:sz w:val="30"/>
          <w:szCs w:val="30"/>
          <w14:ligatures w14:val="none"/>
        </w:rPr>
        <w:t> on international science testing. </w:t>
      </w:r>
    </w:p>
    <w:p w14:paraId="3B3BB9ED"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lastRenderedPageBreak/>
        <w:t>Now, nearly 15 years into a precipitous decline in educational outcomes, it’s hard not to wonder whether Massachusetts leaders will wait for all the gains from education reform to be wiped out before they do something about it. </w:t>
      </w:r>
    </w:p>
    <w:p w14:paraId="7D588153"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The Education Reform Act combined a significant investment in public education – particularly in less affluent school districts – with high academic standards and accountability for everyone in the system. </w:t>
      </w:r>
    </w:p>
    <w:p w14:paraId="47665140"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Money is important, but it isn’t the problem here. The Commonwealth’s 2019 Student Opportunity Act adds </w:t>
      </w:r>
      <w:hyperlink r:id="rId10" w:anchor=":~:text=The%20SOA%20has%20added%20over%20$875%20million,shortchanging%20the%20value%20of%20the%20SOA%20reforms" w:tgtFrame="_blank" w:history="1">
        <w:r w:rsidRPr="00663BF4">
          <w:rPr>
            <w:rFonts w:ascii="Libre Baskerville" w:eastAsia="Times New Roman" w:hAnsi="Libre Baskerville" w:cs="Times New Roman"/>
            <w:color w:val="5D81AC"/>
            <w:kern w:val="0"/>
            <w:sz w:val="30"/>
            <w:szCs w:val="30"/>
            <w:u w:val="single"/>
            <w14:ligatures w14:val="none"/>
          </w:rPr>
          <w:t>over $875 million</w:t>
        </w:r>
      </w:hyperlink>
      <w:r w:rsidRPr="00663BF4">
        <w:rPr>
          <w:rFonts w:ascii="Libre Baskerville" w:eastAsia="Times New Roman" w:hAnsi="Libre Baskerville" w:cs="Times New Roman"/>
          <w:color w:val="111111"/>
          <w:kern w:val="0"/>
          <w:sz w:val="30"/>
          <w:szCs w:val="30"/>
          <w14:ligatures w14:val="none"/>
        </w:rPr>
        <w:t> to annual education appropriations, again focused on promoting equity by providing increased funding for students from disadvantaged backgrounds, to what was already one of the nation’s best-funded public-school systems. Massachusetts schools also received </w:t>
      </w:r>
      <w:hyperlink r:id="rId11" w:anchor=":~:text=Our%20Research,Schools%2C%20and%20Worcester%20Public%20Schools." w:tgtFrame="_blank" w:history="1">
        <w:r w:rsidRPr="00663BF4">
          <w:rPr>
            <w:rFonts w:ascii="Libre Baskerville" w:eastAsia="Times New Roman" w:hAnsi="Libre Baskerville" w:cs="Times New Roman"/>
            <w:color w:val="5D81AC"/>
            <w:kern w:val="0"/>
            <w:sz w:val="30"/>
            <w:szCs w:val="30"/>
            <w:u w:val="single"/>
            <w14:ligatures w14:val="none"/>
          </w:rPr>
          <w:t>nearly $2.3 billion</w:t>
        </w:r>
      </w:hyperlink>
      <w:r w:rsidRPr="00663BF4">
        <w:rPr>
          <w:rFonts w:ascii="Libre Baskerville" w:eastAsia="Times New Roman" w:hAnsi="Libre Baskerville" w:cs="Times New Roman"/>
          <w:color w:val="111111"/>
          <w:kern w:val="0"/>
          <w:sz w:val="30"/>
          <w:szCs w:val="30"/>
          <w14:ligatures w14:val="none"/>
        </w:rPr>
        <w:t> in federal pandemic relief money.  </w:t>
      </w:r>
    </w:p>
    <w:p w14:paraId="3B47E715"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This year, K-12 public education will receive </w:t>
      </w:r>
      <w:hyperlink r:id="rId12" w:tgtFrame="_blank" w:history="1">
        <w:r w:rsidRPr="00663BF4">
          <w:rPr>
            <w:rFonts w:ascii="Libre Baskerville" w:eastAsia="Times New Roman" w:hAnsi="Libre Baskerville" w:cs="Times New Roman"/>
            <w:color w:val="5D81AC"/>
            <w:kern w:val="0"/>
            <w:sz w:val="30"/>
            <w:szCs w:val="30"/>
            <w:u w:val="single"/>
            <w14:ligatures w14:val="none"/>
          </w:rPr>
          <w:t>nearly $500 million</w:t>
        </w:r>
      </w:hyperlink>
      <w:r w:rsidRPr="00663BF4">
        <w:rPr>
          <w:rFonts w:ascii="Libre Baskerville" w:eastAsia="Times New Roman" w:hAnsi="Libre Baskerville" w:cs="Times New Roman"/>
          <w:color w:val="111111"/>
          <w:kern w:val="0"/>
          <w:sz w:val="30"/>
          <w:szCs w:val="30"/>
          <w14:ligatures w14:val="none"/>
        </w:rPr>
        <w:t> in receipts from the tax increase on high earners that state voters approved in 2022. All told, state and local taxpayers are spending </w:t>
      </w:r>
      <w:hyperlink r:id="rId13" w:tgtFrame="_blank" w:history="1">
        <w:r w:rsidRPr="00663BF4">
          <w:rPr>
            <w:rFonts w:ascii="Libre Baskerville" w:eastAsia="Times New Roman" w:hAnsi="Libre Baskerville" w:cs="Times New Roman"/>
            <w:color w:val="5D81AC"/>
            <w:kern w:val="0"/>
            <w:sz w:val="30"/>
            <w:szCs w:val="30"/>
            <w:u w:val="single"/>
            <w14:ligatures w14:val="none"/>
          </w:rPr>
          <w:t>about $18 billion</w:t>
        </w:r>
      </w:hyperlink>
      <w:r w:rsidRPr="00663BF4">
        <w:rPr>
          <w:rFonts w:ascii="Libre Baskerville" w:eastAsia="Times New Roman" w:hAnsi="Libre Baskerville" w:cs="Times New Roman"/>
          <w:color w:val="111111"/>
          <w:kern w:val="0"/>
          <w:sz w:val="30"/>
          <w:szCs w:val="30"/>
          <w14:ligatures w14:val="none"/>
        </w:rPr>
        <w:t> on public schools. </w:t>
      </w:r>
    </w:p>
    <w:p w14:paraId="5078DA82"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The money is still flowing, but standards and accountability haven’t fared so well. In 2010, Massachusetts jettisoned the nation’s best English language arts and math standards, replacing them with national academic standards known as Common Core that dramatically cut the amount of literature students read and slowed their progression to higher mathematics study. </w:t>
      </w:r>
    </w:p>
    <w:p w14:paraId="47638AD0"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lastRenderedPageBreak/>
        <w:t>On accountability, the Commonwealth eliminated an independent agency that performed comprehensive audits of state school districts in 2008, replacing it with… not much. Last year voters eliminated the requirement that students pass MCAS English, math and science tests to graduate from high school. </w:t>
      </w:r>
    </w:p>
    <w:p w14:paraId="50D12261"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Perhaps education reform’s single biggest success was the Commonwealth’s charter public schools.  Stanford University’s Center for Research on Education Outcomes found that </w:t>
      </w:r>
      <w:hyperlink r:id="rId14" w:tgtFrame="_blank" w:history="1">
        <w:r w:rsidRPr="00663BF4">
          <w:rPr>
            <w:rFonts w:ascii="Libre Baskerville" w:eastAsia="Times New Roman" w:hAnsi="Libre Baskerville" w:cs="Times New Roman"/>
            <w:color w:val="5D81AC"/>
            <w:kern w:val="0"/>
            <w:sz w:val="30"/>
            <w:szCs w:val="30"/>
            <w:u w:val="single"/>
            <w14:ligatures w14:val="none"/>
          </w:rPr>
          <w:t>Boston charters performed the best</w:t>
        </w:r>
      </w:hyperlink>
      <w:r w:rsidRPr="00663BF4">
        <w:rPr>
          <w:rFonts w:ascii="Libre Baskerville" w:eastAsia="Times New Roman" w:hAnsi="Libre Baskerville" w:cs="Times New Roman"/>
          <w:color w:val="111111"/>
          <w:kern w:val="0"/>
          <w:sz w:val="30"/>
          <w:szCs w:val="30"/>
          <w14:ligatures w14:val="none"/>
        </w:rPr>
        <w:t> of 41 urban charter sectors it studied.  The Brookings Institution found that Boston’s charter schools achieved </w:t>
      </w:r>
      <w:hyperlink r:id="rId15" w:tgtFrame="_blank" w:history="1">
        <w:r w:rsidRPr="00663BF4">
          <w:rPr>
            <w:rFonts w:ascii="Libre Baskerville" w:eastAsia="Times New Roman" w:hAnsi="Libre Baskerville" w:cs="Times New Roman"/>
            <w:color w:val="5D81AC"/>
            <w:kern w:val="0"/>
            <w:sz w:val="30"/>
            <w:szCs w:val="30"/>
            <w:u w:val="single"/>
            <w14:ligatures w14:val="none"/>
          </w:rPr>
          <w:t>some of the largest academic gains ever documented</w:t>
        </w:r>
      </w:hyperlink>
      <w:r w:rsidRPr="00663BF4">
        <w:rPr>
          <w:rFonts w:ascii="Libre Baskerville" w:eastAsia="Times New Roman" w:hAnsi="Libre Baskerville" w:cs="Times New Roman"/>
          <w:color w:val="111111"/>
          <w:kern w:val="0"/>
          <w:sz w:val="30"/>
          <w:szCs w:val="30"/>
          <w14:ligatures w14:val="none"/>
        </w:rPr>
        <w:t>. But charters have been stalled since a bid to increase their number failed at the ballot box in 2016. </w:t>
      </w:r>
    </w:p>
    <w:p w14:paraId="0220D4C2"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Some charter schools need to get their own houses in order. Performance at too many of them has declined since their embrace of “social justice education.” Such equity-centric programs aren’t, by definition, harmful, but in some charters they have taken the place of delivering the rich liberal arts curriculum that is the surest path to justice.    </w:t>
      </w:r>
    </w:p>
    <w:p w14:paraId="408ED112"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Now another education reform success, the Commonwealth’s outstanding vocational-technical schools, are in the crosshairs of reform opponents because they’re drawing more and more students from traditional public high schools.  </w:t>
      </w:r>
    </w:p>
    <w:p w14:paraId="41F77B07"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 xml:space="preserve">The deterioration in performance became clear after the Commonwealth adopted Common Core in 2011. By 2019, Massachusetts NAEP scores fell by more than all but 17 </w:t>
      </w:r>
      <w:r w:rsidRPr="00663BF4">
        <w:rPr>
          <w:rFonts w:ascii="Libre Baskerville" w:eastAsia="Times New Roman" w:hAnsi="Libre Baskerville" w:cs="Times New Roman"/>
          <w:color w:val="111111"/>
          <w:kern w:val="0"/>
          <w:sz w:val="30"/>
          <w:szCs w:val="30"/>
          <w14:ligatures w14:val="none"/>
        </w:rPr>
        <w:lastRenderedPageBreak/>
        <w:t>states </w:t>
      </w:r>
      <w:hyperlink r:id="rId16" w:tgtFrame="_blank" w:history="1">
        <w:r w:rsidRPr="00663BF4">
          <w:rPr>
            <w:rFonts w:ascii="Libre Baskerville" w:eastAsia="Times New Roman" w:hAnsi="Libre Baskerville" w:cs="Times New Roman"/>
            <w:color w:val="5D81AC"/>
            <w:kern w:val="0"/>
            <w:sz w:val="30"/>
            <w:szCs w:val="30"/>
            <w:u w:val="single"/>
            <w14:ligatures w14:val="none"/>
          </w:rPr>
          <w:t>in math</w:t>
        </w:r>
      </w:hyperlink>
      <w:r w:rsidRPr="00663BF4">
        <w:rPr>
          <w:rFonts w:ascii="Libre Baskerville" w:eastAsia="Times New Roman" w:hAnsi="Libre Baskerville" w:cs="Times New Roman"/>
          <w:color w:val="111111"/>
          <w:kern w:val="0"/>
          <w:sz w:val="30"/>
          <w:szCs w:val="30"/>
          <w14:ligatures w14:val="none"/>
        </w:rPr>
        <w:t> and all but 14 </w:t>
      </w:r>
      <w:hyperlink r:id="rId17" w:tgtFrame="_blank" w:history="1">
        <w:r w:rsidRPr="00663BF4">
          <w:rPr>
            <w:rFonts w:ascii="Libre Baskerville" w:eastAsia="Times New Roman" w:hAnsi="Libre Baskerville" w:cs="Times New Roman"/>
            <w:color w:val="5D81AC"/>
            <w:kern w:val="0"/>
            <w:sz w:val="30"/>
            <w:szCs w:val="30"/>
            <w:u w:val="single"/>
            <w14:ligatures w14:val="none"/>
          </w:rPr>
          <w:t>in reading</w:t>
        </w:r>
      </w:hyperlink>
      <w:r w:rsidRPr="00663BF4">
        <w:rPr>
          <w:rFonts w:ascii="Libre Baskerville" w:eastAsia="Times New Roman" w:hAnsi="Libre Baskerville" w:cs="Times New Roman"/>
          <w:color w:val="111111"/>
          <w:kern w:val="0"/>
          <w:sz w:val="30"/>
          <w:szCs w:val="30"/>
          <w14:ligatures w14:val="none"/>
        </w:rPr>
        <w:t>. Then the Commonwealth’s students had among the nation’s largest declines during the pandemic. Rather than recovering at least some of that ground post-pandemic, the decline continues. </w:t>
      </w:r>
    </w:p>
    <w:p w14:paraId="4E37A411"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MCAS results reveal that the overall portion of students meeting expectations fell from </w:t>
      </w:r>
      <w:hyperlink r:id="rId18" w:tgtFrame="_blank" w:history="1">
        <w:r w:rsidRPr="00663BF4">
          <w:rPr>
            <w:rFonts w:ascii="Libre Baskerville" w:eastAsia="Times New Roman" w:hAnsi="Libre Baskerville" w:cs="Times New Roman"/>
            <w:color w:val="5D81AC"/>
            <w:kern w:val="0"/>
            <w:sz w:val="30"/>
            <w:szCs w:val="30"/>
            <w:u w:val="single"/>
            <w14:ligatures w14:val="none"/>
          </w:rPr>
          <w:t>half before the pandemic to 42 percent</w:t>
        </w:r>
      </w:hyperlink>
      <w:r w:rsidRPr="00663BF4">
        <w:rPr>
          <w:rFonts w:ascii="Libre Baskerville" w:eastAsia="Times New Roman" w:hAnsi="Libre Baskerville" w:cs="Times New Roman"/>
          <w:color w:val="111111"/>
          <w:kern w:val="0"/>
          <w:sz w:val="30"/>
          <w:szCs w:val="30"/>
          <w14:ligatures w14:val="none"/>
        </w:rPr>
        <w:t> now. The portion of students who failed rose from 11 percent to 18 percent.  </w:t>
      </w:r>
    </w:p>
    <w:p w14:paraId="479E08ED"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Only </w:t>
      </w:r>
      <w:hyperlink r:id="rId19" w:anchor=":~:text=On%20a%20new%20eighth%2Dgrade%20civics%20test%2C%2039,are%20low%20enough%20that%20they%20should%20shake" w:tgtFrame="_blank" w:history="1">
        <w:r w:rsidRPr="00663BF4">
          <w:rPr>
            <w:rFonts w:ascii="Libre Baskerville" w:eastAsia="Times New Roman" w:hAnsi="Libre Baskerville" w:cs="Times New Roman"/>
            <w:color w:val="5D81AC"/>
            <w:kern w:val="0"/>
            <w:sz w:val="30"/>
            <w:szCs w:val="30"/>
            <w:u w:val="single"/>
            <w14:ligatures w14:val="none"/>
          </w:rPr>
          <w:t>39 percent</w:t>
        </w:r>
      </w:hyperlink>
      <w:r w:rsidRPr="00663BF4">
        <w:rPr>
          <w:rFonts w:ascii="Libre Baskerville" w:eastAsia="Times New Roman" w:hAnsi="Libre Baskerville" w:cs="Times New Roman"/>
          <w:color w:val="111111"/>
          <w:kern w:val="0"/>
          <w:sz w:val="30"/>
          <w:szCs w:val="30"/>
          <w14:ligatures w14:val="none"/>
        </w:rPr>
        <w:t> met or exceeded expectations on the just-unveiled 8th-grade civics test.  In these tumultuous political times, the civics results give chilling new meaning to the story of the woman outside the Constitutional Convention in Philadelphia in 1787, who asked Benjamin Franklin, “What have we got, a republic or a monarchy?”  “A republic,” Franklin replied, “if you can keep it.” </w:t>
      </w:r>
    </w:p>
    <w:p w14:paraId="14C94364"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color w:val="111111"/>
          <w:kern w:val="0"/>
          <w:sz w:val="30"/>
          <w:szCs w:val="30"/>
          <w14:ligatures w14:val="none"/>
        </w:rPr>
        <w:t>After nearly 15 years of decline, the question is whether things have finally gotten bad enough for state leaders to return to the high standards, accountability, and strategic access to high quality choices that were pillars of the most successful education reform in modern American history.   </w:t>
      </w:r>
    </w:p>
    <w:p w14:paraId="082B1E43" w14:textId="77777777" w:rsidR="00663BF4" w:rsidRPr="00663BF4" w:rsidRDefault="00663BF4" w:rsidP="00663BF4">
      <w:pPr>
        <w:shd w:val="clear" w:color="auto" w:fill="FFFFFF"/>
        <w:spacing w:before="480" w:after="480" w:line="240" w:lineRule="auto"/>
        <w:rPr>
          <w:rFonts w:ascii="Libre Baskerville" w:eastAsia="Times New Roman" w:hAnsi="Libre Baskerville" w:cs="Times New Roman"/>
          <w:color w:val="111111"/>
          <w:kern w:val="0"/>
          <w:sz w:val="30"/>
          <w:szCs w:val="30"/>
          <w14:ligatures w14:val="none"/>
        </w:rPr>
      </w:pPr>
      <w:r w:rsidRPr="00663BF4">
        <w:rPr>
          <w:rFonts w:ascii="Libre Baskerville" w:eastAsia="Times New Roman" w:hAnsi="Libre Baskerville" w:cs="Times New Roman"/>
          <w:i/>
          <w:iCs/>
          <w:color w:val="111111"/>
          <w:kern w:val="0"/>
          <w:sz w:val="30"/>
          <w:szCs w:val="30"/>
          <w14:ligatures w14:val="none"/>
        </w:rPr>
        <w:t>Charles Chieppo is a senior fellow and Jamie Gass is director of PioneerEducation at Pioneer Institute, a Boston-based public policy think tank.</w:t>
      </w:r>
      <w:r w:rsidRPr="00663BF4">
        <w:rPr>
          <w:rFonts w:ascii="Libre Baskerville" w:eastAsia="Times New Roman" w:hAnsi="Libre Baskerville" w:cs="Times New Roman"/>
          <w:color w:val="111111"/>
          <w:kern w:val="0"/>
          <w:sz w:val="30"/>
          <w:szCs w:val="30"/>
          <w14:ligatures w14:val="none"/>
        </w:rPr>
        <w:t> </w:t>
      </w:r>
    </w:p>
    <w:p w14:paraId="6EEB4CDC"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Libre Baskerville">
    <w:charset w:val="00"/>
    <w:family w:val="auto"/>
    <w:pitch w:val="variable"/>
    <w:sig w:usb0="A00000BF" w:usb1="50000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5151C"/>
    <w:multiLevelType w:val="multilevel"/>
    <w:tmpl w:val="0C9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3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4"/>
    <w:rsid w:val="000A51AA"/>
    <w:rsid w:val="001000BC"/>
    <w:rsid w:val="004A6DC0"/>
    <w:rsid w:val="00544A58"/>
    <w:rsid w:val="005B6B87"/>
    <w:rsid w:val="00663BF4"/>
    <w:rsid w:val="00F90754"/>
    <w:rsid w:val="00FC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11E3"/>
  <w15:chartTrackingRefBased/>
  <w15:docId w15:val="{F9F31C36-4E6E-4E15-8B45-C367821B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B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B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3B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3B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3B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3B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3B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B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B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3B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3B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3B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3B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3B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3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B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B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3BF4"/>
    <w:pPr>
      <w:spacing w:before="160"/>
      <w:jc w:val="center"/>
    </w:pPr>
    <w:rPr>
      <w:i/>
      <w:iCs/>
      <w:color w:val="404040" w:themeColor="text1" w:themeTint="BF"/>
    </w:rPr>
  </w:style>
  <w:style w:type="character" w:customStyle="1" w:styleId="QuoteChar">
    <w:name w:val="Quote Char"/>
    <w:basedOn w:val="DefaultParagraphFont"/>
    <w:link w:val="Quote"/>
    <w:uiPriority w:val="29"/>
    <w:rsid w:val="00663BF4"/>
    <w:rPr>
      <w:i/>
      <w:iCs/>
      <w:color w:val="404040" w:themeColor="text1" w:themeTint="BF"/>
    </w:rPr>
  </w:style>
  <w:style w:type="paragraph" w:styleId="ListParagraph">
    <w:name w:val="List Paragraph"/>
    <w:basedOn w:val="Normal"/>
    <w:uiPriority w:val="34"/>
    <w:qFormat/>
    <w:rsid w:val="00663BF4"/>
    <w:pPr>
      <w:ind w:left="720"/>
      <w:contextualSpacing/>
    </w:pPr>
  </w:style>
  <w:style w:type="character" w:styleId="IntenseEmphasis">
    <w:name w:val="Intense Emphasis"/>
    <w:basedOn w:val="DefaultParagraphFont"/>
    <w:uiPriority w:val="21"/>
    <w:qFormat/>
    <w:rsid w:val="00663BF4"/>
    <w:rPr>
      <w:i/>
      <w:iCs/>
      <w:color w:val="0F4761" w:themeColor="accent1" w:themeShade="BF"/>
    </w:rPr>
  </w:style>
  <w:style w:type="paragraph" w:styleId="IntenseQuote">
    <w:name w:val="Intense Quote"/>
    <w:basedOn w:val="Normal"/>
    <w:next w:val="Normal"/>
    <w:link w:val="IntenseQuoteChar"/>
    <w:uiPriority w:val="30"/>
    <w:qFormat/>
    <w:rsid w:val="00663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BF4"/>
    <w:rPr>
      <w:i/>
      <w:iCs/>
      <w:color w:val="0F4761" w:themeColor="accent1" w:themeShade="BF"/>
    </w:rPr>
  </w:style>
  <w:style w:type="character" w:styleId="IntenseReference">
    <w:name w:val="Intense Reference"/>
    <w:basedOn w:val="DefaultParagraphFont"/>
    <w:uiPriority w:val="32"/>
    <w:qFormat/>
    <w:rsid w:val="00663B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sreportcard.gov/" TargetMode="External"/><Relationship Id="rId13" Type="http://schemas.openxmlformats.org/officeDocument/2006/relationships/hyperlink" Target="https://pioneerinstitute.org/wp-content/uploads/Chapt-70-local-II.png" TargetMode="External"/><Relationship Id="rId18" Type="http://schemas.openxmlformats.org/officeDocument/2006/relationships/hyperlink" Target="https://www.bostonglobe.com/2025/09/29/metro/mcas-2025-pandemic-losses-recovery/?p1=BGSearch_Advanced_Resul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mmonwealthbeacon.org/author/jamiegass/" TargetMode="External"/><Relationship Id="rId12" Type="http://schemas.openxmlformats.org/officeDocument/2006/relationships/hyperlink" Target="https://www.wbur.org/news/2025/07/03/millionares-tax-massachusetts-spending" TargetMode="External"/><Relationship Id="rId17" Type="http://schemas.openxmlformats.org/officeDocument/2006/relationships/hyperlink" Target="https://pioneerinstitute.org/wp-content/uploads/2011-2019-NAEP-reading.pdf" TargetMode="External"/><Relationship Id="rId2" Type="http://schemas.openxmlformats.org/officeDocument/2006/relationships/styles" Target="styles.xml"/><Relationship Id="rId16" Type="http://schemas.openxmlformats.org/officeDocument/2006/relationships/hyperlink" Target="https://pioneerinstitute.org/wp-content/uploads/2011-2019-NAEP-math.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onwealthbeacon.org/author/charles-d-chieppo/" TargetMode="External"/><Relationship Id="rId11" Type="http://schemas.openxmlformats.org/officeDocument/2006/relationships/hyperlink" Target="https://www.renniecenter.org/research/reports/esser-plans-action-closer-look-four-massachusetts-districts" TargetMode="External"/><Relationship Id="rId5" Type="http://schemas.openxmlformats.org/officeDocument/2006/relationships/hyperlink" Target="https://commonwealthbeacon.org/category/opinion/" TargetMode="External"/><Relationship Id="rId15" Type="http://schemas.openxmlformats.org/officeDocument/2006/relationships/hyperlink" Target="https://www.brookings.edu/articles/massachusetts-charter-cap-holds-back-disadvantaged-students/" TargetMode="External"/><Relationship Id="rId10" Type="http://schemas.openxmlformats.org/officeDocument/2006/relationships/hyperlink" Target="https://massbudget.org/2024/06/18/soa-inflation-challenges/" TargetMode="External"/><Relationship Id="rId19" Type="http://schemas.openxmlformats.org/officeDocument/2006/relationships/hyperlink" Target="https://www.bostonglobe.com/2025/10/02/opinion/massachusetts-is-failing-its-students-if-it-cant-boost-mcas-scores/" TargetMode="External"/><Relationship Id="rId4" Type="http://schemas.openxmlformats.org/officeDocument/2006/relationships/webSettings" Target="webSettings.xml"/><Relationship Id="rId9" Type="http://schemas.openxmlformats.org/officeDocument/2006/relationships/hyperlink" Target="https://www.doe.mass.edu/news/news.aspx?id=4457" TargetMode="External"/><Relationship Id="rId14" Type="http://schemas.openxmlformats.org/officeDocument/2006/relationships/hyperlink" Target="https://urbancharters.stanford.edu/download/Urban%20Charter%20School%20Study%20Report%20on%2041%20Reg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3</cp:revision>
  <dcterms:created xsi:type="dcterms:W3CDTF">2025-10-10T11:31:00Z</dcterms:created>
  <dcterms:modified xsi:type="dcterms:W3CDTF">2025-10-10T16:09:00Z</dcterms:modified>
</cp:coreProperties>
</file>